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835" w:rsidRPr="00D11835" w:rsidRDefault="00D11835" w:rsidP="00D11835">
      <w:pPr>
        <w:spacing w:line="240" w:lineRule="auto"/>
        <w:jc w:val="center"/>
        <w:rPr>
          <w:rFonts w:ascii="Arial" w:eastAsia="Times New Roman" w:hAnsi="Arial"/>
          <w:color w:val="000000"/>
          <w:sz w:val="18"/>
          <w:szCs w:val="18"/>
          <w:lang w:val="es-CO"/>
        </w:rPr>
      </w:pPr>
      <w:r w:rsidRPr="00D11835">
        <w:rPr>
          <w:rFonts w:ascii="Segoe UI" w:eastAsia="Times New Roman" w:hAnsi="Segoe UI" w:cs="Segoe UI"/>
          <w:b/>
          <w:bCs/>
          <w:color w:val="0000FF"/>
          <w:sz w:val="28"/>
          <w:szCs w:val="28"/>
          <w:lang w:val="es-CO"/>
        </w:rPr>
        <w:t>OFICIO Nº 000479</w:t>
      </w:r>
    </w:p>
    <w:p w:rsidR="00D11835" w:rsidRPr="00D11835" w:rsidRDefault="00D11835" w:rsidP="00D11835">
      <w:pPr>
        <w:spacing w:line="240" w:lineRule="auto"/>
        <w:jc w:val="center"/>
        <w:rPr>
          <w:rFonts w:ascii="Arial" w:eastAsia="Times New Roman" w:hAnsi="Arial"/>
          <w:color w:val="000000"/>
          <w:sz w:val="18"/>
          <w:szCs w:val="18"/>
          <w:lang w:val="es-CO"/>
        </w:rPr>
      </w:pPr>
      <w:r w:rsidRPr="00D11835">
        <w:rPr>
          <w:rFonts w:ascii="Segoe UI" w:eastAsia="Times New Roman" w:hAnsi="Segoe UI" w:cs="Segoe UI"/>
          <w:b/>
          <w:bCs/>
          <w:color w:val="0000FF"/>
          <w:sz w:val="28"/>
          <w:szCs w:val="28"/>
          <w:lang w:val="es-CO"/>
        </w:rPr>
        <w:t>16-04-2018</w:t>
      </w:r>
    </w:p>
    <w:p w:rsidR="00D11835" w:rsidRPr="00D11835" w:rsidRDefault="00D11835" w:rsidP="00D11835">
      <w:pPr>
        <w:spacing w:line="240" w:lineRule="auto"/>
        <w:jc w:val="center"/>
        <w:rPr>
          <w:rFonts w:ascii="Arial" w:eastAsia="Times New Roman" w:hAnsi="Arial"/>
          <w:color w:val="000000"/>
          <w:sz w:val="18"/>
          <w:szCs w:val="18"/>
          <w:lang w:val="es-CO"/>
        </w:rPr>
      </w:pPr>
      <w:r w:rsidRPr="00D11835">
        <w:rPr>
          <w:rFonts w:ascii="Segoe UI" w:eastAsia="Times New Roman" w:hAnsi="Segoe UI" w:cs="Segoe UI"/>
          <w:b/>
          <w:bCs/>
          <w:color w:val="0000FF"/>
          <w:sz w:val="28"/>
          <w:szCs w:val="28"/>
          <w:lang w:val="es-CO"/>
        </w:rPr>
        <w:t>DIAN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FF"/>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FF"/>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Subdirección de Gestión Normativa y Doctrina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Bogotá, D.C.</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100208221- 000479</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Señora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MARGARITA ELISA SIERRA VARGAS</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Contadora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Carrera 86 Nº 49 DD – 115 Bloque 7 Apartamento 202</w:t>
      </w:r>
    </w:p>
    <w:p w:rsidR="00D11835" w:rsidRPr="00D11835" w:rsidRDefault="00D11835" w:rsidP="00D11835">
      <w:pPr>
        <w:spacing w:line="240" w:lineRule="auto"/>
        <w:rPr>
          <w:rFonts w:ascii="Arial" w:eastAsia="Times New Roman" w:hAnsi="Arial"/>
          <w:color w:val="000000"/>
          <w:sz w:val="18"/>
          <w:szCs w:val="18"/>
          <w:lang w:val="es-CO"/>
        </w:rPr>
      </w:pPr>
      <w:hyperlink r:id="rId4" w:history="1">
        <w:r w:rsidRPr="00D11835">
          <w:rPr>
            <w:rFonts w:ascii="Segoe UI" w:eastAsia="Times New Roman" w:hAnsi="Segoe UI" w:cs="Segoe UI"/>
            <w:color w:val="0089E1"/>
            <w:sz w:val="18"/>
            <w:szCs w:val="18"/>
            <w:u w:val="single"/>
            <w:lang w:val="es-CO"/>
          </w:rPr>
          <w:t>lisheber@une.net.co</w:t>
        </w:r>
      </w:hyperlink>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Medellín – Antioquia.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proofErr w:type="spellStart"/>
      <w:r w:rsidRPr="00D11835">
        <w:rPr>
          <w:rFonts w:ascii="Segoe UI" w:eastAsia="Times New Roman" w:hAnsi="Segoe UI" w:cs="Segoe UI"/>
          <w:b/>
          <w:bCs/>
          <w:color w:val="000000"/>
          <w:sz w:val="18"/>
          <w:szCs w:val="18"/>
          <w:lang w:val="es-CO"/>
        </w:rPr>
        <w:t>Ref</w:t>
      </w:r>
      <w:proofErr w:type="spellEnd"/>
      <w:r w:rsidRPr="00D11835">
        <w:rPr>
          <w:rFonts w:ascii="Segoe UI" w:eastAsia="Times New Roman" w:hAnsi="Segoe UI" w:cs="Segoe UI"/>
          <w:b/>
          <w:bCs/>
          <w:color w:val="000000"/>
          <w:sz w:val="18"/>
          <w:szCs w:val="18"/>
          <w:lang w:val="es-CO"/>
        </w:rPr>
        <w:t>:</w:t>
      </w:r>
      <w:r w:rsidRPr="00D11835">
        <w:rPr>
          <w:rFonts w:ascii="Segoe UI" w:eastAsia="Times New Roman" w:hAnsi="Segoe UI" w:cs="Segoe UI"/>
          <w:color w:val="000000"/>
          <w:sz w:val="18"/>
          <w:szCs w:val="18"/>
          <w:lang w:val="es-CO"/>
        </w:rPr>
        <w:t> Radicado 100078786 del 01/12/2017.</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Tema: </w:t>
      </w:r>
      <w:r w:rsidRPr="00D11835">
        <w:rPr>
          <w:rFonts w:ascii="Segoe UI" w:eastAsia="Times New Roman" w:hAnsi="Segoe UI" w:cs="Segoe UI"/>
          <w:color w:val="000000"/>
          <w:sz w:val="18"/>
          <w:szCs w:val="18"/>
          <w:lang w:val="es-CO"/>
        </w:rPr>
        <w:t>Procedimiento.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Descriptores: </w:t>
      </w:r>
      <w:r w:rsidRPr="00D11835">
        <w:rPr>
          <w:rFonts w:ascii="Segoe UI" w:eastAsia="Times New Roman" w:hAnsi="Segoe UI" w:cs="Segoe UI"/>
          <w:color w:val="000000"/>
          <w:sz w:val="18"/>
          <w:szCs w:val="18"/>
          <w:lang w:val="es-CO"/>
        </w:rPr>
        <w:t>Requisitos de la factura frente al obligado a facturar, requisitos para efectos probatorios por parte del adquirente.</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Fuentes normativas: </w:t>
      </w:r>
      <w:r w:rsidRPr="00D11835">
        <w:rPr>
          <w:rFonts w:ascii="Segoe UI" w:eastAsia="Times New Roman" w:hAnsi="Segoe UI" w:cs="Segoe UI"/>
          <w:color w:val="000000"/>
          <w:sz w:val="18"/>
          <w:szCs w:val="18"/>
          <w:lang w:val="es-CO"/>
        </w:rPr>
        <w:t>Estatuto Tributario artículos </w:t>
      </w:r>
      <w:hyperlink r:id="rId5" w:tooltip="Estatuto Tributario CETA" w:history="1">
        <w:r w:rsidRPr="00D11835">
          <w:rPr>
            <w:rFonts w:ascii="Segoe UI" w:eastAsia="Times New Roman" w:hAnsi="Segoe UI" w:cs="Segoe UI"/>
            <w:color w:val="0089E1"/>
            <w:sz w:val="18"/>
            <w:szCs w:val="18"/>
            <w:u w:val="single"/>
            <w:lang w:val="es-CO"/>
          </w:rPr>
          <w:t>617</w:t>
        </w:r>
      </w:hyperlink>
      <w:r w:rsidRPr="00D11835">
        <w:rPr>
          <w:rFonts w:ascii="Segoe UI" w:eastAsia="Times New Roman" w:hAnsi="Segoe UI" w:cs="Segoe UI"/>
          <w:color w:val="000000"/>
          <w:sz w:val="18"/>
          <w:szCs w:val="18"/>
          <w:lang w:val="es-CO"/>
        </w:rPr>
        <w:t>, </w:t>
      </w:r>
      <w:hyperlink r:id="rId6" w:tooltip="Estatuto Tributario CETA" w:history="1">
        <w:r w:rsidRPr="00D11835">
          <w:rPr>
            <w:rFonts w:ascii="Segoe UI" w:eastAsia="Times New Roman" w:hAnsi="Segoe UI" w:cs="Segoe UI"/>
            <w:color w:val="0089E1"/>
            <w:sz w:val="18"/>
            <w:szCs w:val="18"/>
            <w:u w:val="single"/>
            <w:lang w:val="es-CO"/>
          </w:rPr>
          <w:t>618</w:t>
        </w:r>
      </w:hyperlink>
      <w:r w:rsidRPr="00D11835">
        <w:rPr>
          <w:rFonts w:ascii="Segoe UI" w:eastAsia="Times New Roman" w:hAnsi="Segoe UI" w:cs="Segoe UI"/>
          <w:color w:val="000000"/>
          <w:sz w:val="18"/>
          <w:szCs w:val="18"/>
          <w:lang w:val="es-CO"/>
        </w:rPr>
        <w:t>, </w:t>
      </w:r>
      <w:hyperlink r:id="rId7" w:tooltip="Estatuto Tributario CETA" w:history="1">
        <w:r w:rsidRPr="00D11835">
          <w:rPr>
            <w:rFonts w:ascii="Segoe UI" w:eastAsia="Times New Roman" w:hAnsi="Segoe UI" w:cs="Segoe UI"/>
            <w:color w:val="0089E1"/>
            <w:sz w:val="18"/>
            <w:szCs w:val="18"/>
            <w:u w:val="single"/>
            <w:lang w:val="es-CO"/>
          </w:rPr>
          <w:t>684-2</w:t>
        </w:r>
      </w:hyperlink>
      <w:r w:rsidRPr="00D11835">
        <w:rPr>
          <w:rFonts w:ascii="Segoe UI" w:eastAsia="Times New Roman" w:hAnsi="Segoe UI" w:cs="Segoe UI"/>
          <w:color w:val="000000"/>
          <w:sz w:val="18"/>
          <w:szCs w:val="18"/>
          <w:lang w:val="es-CO"/>
        </w:rPr>
        <w:t>, </w:t>
      </w:r>
      <w:hyperlink r:id="rId8" w:tooltip="Estatuto Tributario CETA" w:history="1">
        <w:r w:rsidRPr="00D11835">
          <w:rPr>
            <w:rFonts w:ascii="Segoe UI" w:eastAsia="Times New Roman" w:hAnsi="Segoe UI" w:cs="Segoe UI"/>
            <w:color w:val="0089E1"/>
            <w:sz w:val="18"/>
            <w:szCs w:val="18"/>
            <w:u w:val="single"/>
            <w:lang w:val="es-CO"/>
          </w:rPr>
          <w:t>657</w:t>
        </w:r>
      </w:hyperlink>
      <w:r w:rsidRPr="00D11835">
        <w:rPr>
          <w:rFonts w:ascii="Segoe UI" w:eastAsia="Times New Roman" w:hAnsi="Segoe UI" w:cs="Segoe UI"/>
          <w:color w:val="000000"/>
          <w:sz w:val="18"/>
          <w:szCs w:val="18"/>
          <w:lang w:val="es-CO"/>
        </w:rPr>
        <w:t>, </w:t>
      </w:r>
      <w:hyperlink r:id="rId9" w:tooltip="Estatuto Tributario CETA" w:history="1">
        <w:r w:rsidRPr="00D11835">
          <w:rPr>
            <w:rFonts w:ascii="Segoe UI" w:eastAsia="Times New Roman" w:hAnsi="Segoe UI" w:cs="Segoe UI"/>
            <w:color w:val="0089E1"/>
            <w:sz w:val="18"/>
            <w:szCs w:val="18"/>
            <w:u w:val="single"/>
            <w:lang w:val="es-CO"/>
          </w:rPr>
          <w:t>771-2</w:t>
        </w:r>
      </w:hyperlink>
      <w:r w:rsidRPr="00D11835">
        <w:rPr>
          <w:rFonts w:ascii="Segoe UI" w:eastAsia="Times New Roman" w:hAnsi="Segoe UI" w:cs="Segoe UI"/>
          <w:color w:val="000000"/>
          <w:sz w:val="18"/>
          <w:szCs w:val="18"/>
          <w:lang w:val="es-CO"/>
        </w:rPr>
        <w:t>; Resolución 000055 de 2016.</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Cordial saludo, señora Margarita: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¿Pregunta usted si en las facturas que expiden los proveedores, se debe exigir que se informe la vigencia de la resolución de facturación?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Manifiesta que hace esta consulta teniendo en cuenta que la Resolución 000055 de 2016, en el artículo 5º, establece entre otras condiciones, la de incluir la numeración consecutiva, requiriéndose informar tanto en las facturas como en los documentos equivalentes el número, la fecha y </w:t>
      </w:r>
      <w:r w:rsidRPr="00D11835">
        <w:rPr>
          <w:rFonts w:ascii="Segoe UI" w:eastAsia="Times New Roman" w:hAnsi="Segoe UI" w:cs="Segoe UI"/>
          <w:b/>
          <w:bCs/>
          <w:color w:val="000000"/>
          <w:sz w:val="18"/>
          <w:szCs w:val="18"/>
          <w:lang w:val="es-CO"/>
        </w:rPr>
        <w:t>vigencia </w:t>
      </w:r>
      <w:r w:rsidRPr="00D11835">
        <w:rPr>
          <w:rFonts w:ascii="Segoe UI" w:eastAsia="Times New Roman" w:hAnsi="Segoe UI" w:cs="Segoe UI"/>
          <w:color w:val="000000"/>
          <w:sz w:val="18"/>
          <w:szCs w:val="18"/>
          <w:lang w:val="es-CO"/>
        </w:rPr>
        <w:t>de la autorización de numeración de facturación, así como el número de intervalos de numeración consecutiva autorizada correspondiente al prefijo.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Indica que antes de la Resolución 000055 era fácil establecer si una factura de un proveedor tenía la resolución vencida, ya que era claro que la vigencia para todos era de dos (2) años, pero con la Resolución 000055, la </w:t>
      </w:r>
      <w:r w:rsidRPr="00D11835">
        <w:rPr>
          <w:rFonts w:ascii="Segoe UI" w:eastAsia="Times New Roman" w:hAnsi="Segoe UI" w:cs="Segoe UI"/>
          <w:b/>
          <w:bCs/>
          <w:color w:val="000000"/>
          <w:sz w:val="18"/>
          <w:szCs w:val="18"/>
          <w:lang w:val="es-CO"/>
        </w:rPr>
        <w:t>vigencia </w:t>
      </w:r>
      <w:r w:rsidRPr="00D11835">
        <w:rPr>
          <w:rFonts w:ascii="Segoe UI" w:eastAsia="Times New Roman" w:hAnsi="Segoe UI" w:cs="Segoe UI"/>
          <w:color w:val="000000"/>
          <w:sz w:val="18"/>
          <w:szCs w:val="18"/>
          <w:lang w:val="es-CO"/>
        </w:rPr>
        <w:t>es variable, ya que uno de los cambios importantes fue el relacionado con la </w:t>
      </w:r>
      <w:r w:rsidRPr="00D11835">
        <w:rPr>
          <w:rFonts w:ascii="Segoe UI" w:eastAsia="Times New Roman" w:hAnsi="Segoe UI" w:cs="Segoe UI"/>
          <w:b/>
          <w:bCs/>
          <w:color w:val="000000"/>
          <w:sz w:val="18"/>
          <w:szCs w:val="18"/>
          <w:lang w:val="es-CO"/>
        </w:rPr>
        <w:t>vigencia </w:t>
      </w:r>
      <w:r w:rsidRPr="00D11835">
        <w:rPr>
          <w:rFonts w:ascii="Segoe UI" w:eastAsia="Times New Roman" w:hAnsi="Segoe UI" w:cs="Segoe UI"/>
          <w:color w:val="000000"/>
          <w:sz w:val="18"/>
          <w:szCs w:val="18"/>
          <w:lang w:val="es-CO"/>
        </w:rPr>
        <w:t>de la numeración de facturación, que ya será un período de 6, 12, 18 o hasta 24 meses, según sea el caso y, los rangos de la numeración de facturación que solicite el cliente serán definidos por la DIAN, según el volumen de operaciones que maneje.</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Pregunta:</w:t>
      </w:r>
      <w:r w:rsidRPr="00D11835">
        <w:rPr>
          <w:rFonts w:ascii="Segoe UI" w:eastAsia="Times New Roman" w:hAnsi="Segoe UI" w:cs="Segoe UI"/>
          <w:color w:val="000000"/>
          <w:sz w:val="18"/>
          <w:szCs w:val="18"/>
          <w:lang w:val="es-CO"/>
        </w:rPr>
        <w:t xml:space="preserve"> ¿Si los proveedores no informan la vigencia de la resolución de facturación, como lo establece la Resolución 000055, </w:t>
      </w:r>
      <w:proofErr w:type="gramStart"/>
      <w:r w:rsidRPr="00D11835">
        <w:rPr>
          <w:rFonts w:ascii="Segoe UI" w:eastAsia="Times New Roman" w:hAnsi="Segoe UI" w:cs="Segoe UI"/>
          <w:color w:val="000000"/>
          <w:sz w:val="18"/>
          <w:szCs w:val="18"/>
          <w:lang w:val="es-CO"/>
        </w:rPr>
        <w:t>cómo se puede determinar que un proveedor tiene la resolución vencida?</w:t>
      </w:r>
      <w:proofErr w:type="gramEnd"/>
      <w:r w:rsidRPr="00D11835">
        <w:rPr>
          <w:rFonts w:ascii="Segoe UI" w:eastAsia="Times New Roman" w:hAnsi="Segoe UI" w:cs="Segoe UI"/>
          <w:color w:val="000000"/>
          <w:sz w:val="18"/>
          <w:szCs w:val="18"/>
          <w:lang w:val="es-CO"/>
        </w:rPr>
        <w:t xml:space="preserve"> </w:t>
      </w:r>
      <w:proofErr w:type="gramStart"/>
      <w:r w:rsidRPr="00D11835">
        <w:rPr>
          <w:rFonts w:ascii="Segoe UI" w:eastAsia="Times New Roman" w:hAnsi="Segoe UI" w:cs="Segoe UI"/>
          <w:color w:val="000000"/>
          <w:sz w:val="18"/>
          <w:szCs w:val="18"/>
          <w:lang w:val="es-CO"/>
        </w:rPr>
        <w:t>Cuáles son los riesgos al recibir facturas con la resolución de facturación vencida?</w:t>
      </w:r>
      <w:proofErr w:type="gramEnd"/>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Aduce que el </w:t>
      </w:r>
      <w:hyperlink r:id="rId10"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del Estatuto Tributario, al establecer los requisitos de la factura que debe expedir el vendedor, no incluye entre los requisitos la autorización de numeración. Que no obstante, si consideramos que en una transacción comercial intervienen dos partes: el comprador y el vendedor y, el </w:t>
      </w:r>
      <w:hyperlink r:id="rId11"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del Estatuto Tributario, establece los requisitos que debe cumplir quien expide la factura, es decir, el vendedor, para el comprador que requiere la factura para soportar sus costos y deducciones, no le es aplicable este artículo sino el </w:t>
      </w:r>
      <w:hyperlink r:id="rId12" w:tooltip="Estatuto Tributario CETA" w:history="1">
        <w:r w:rsidRPr="00D11835">
          <w:rPr>
            <w:rFonts w:ascii="Segoe UI" w:eastAsia="Times New Roman" w:hAnsi="Segoe UI" w:cs="Segoe UI"/>
            <w:color w:val="0089E1"/>
            <w:sz w:val="18"/>
            <w:szCs w:val="18"/>
            <w:u w:val="single"/>
            <w:lang w:val="es-CO"/>
          </w:rPr>
          <w:t>artículo 771-2</w:t>
        </w:r>
      </w:hyperlink>
      <w:r w:rsidRPr="00D11835">
        <w:rPr>
          <w:rFonts w:ascii="Segoe UI" w:eastAsia="Times New Roman" w:hAnsi="Segoe UI" w:cs="Segoe UI"/>
          <w:color w:val="000000"/>
          <w:sz w:val="18"/>
          <w:szCs w:val="18"/>
          <w:lang w:val="es-CO"/>
        </w:rPr>
        <w:t> ibídem, que para efectos probatorios exige solamente los requisitos que esta norma indica.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proofErr w:type="gramStart"/>
      <w:r w:rsidRPr="00D11835">
        <w:rPr>
          <w:rFonts w:ascii="Segoe UI" w:eastAsia="Times New Roman" w:hAnsi="Segoe UI" w:cs="Segoe UI"/>
          <w:color w:val="000000"/>
          <w:sz w:val="18"/>
          <w:szCs w:val="18"/>
          <w:lang w:val="es-CO"/>
        </w:rPr>
        <w:t>Expresa que requiere saber, si el Estatuto Tributario es una norma superior a la resolución, y si ello es así, y considerando que en las normas aludidas del Estatuto Tributario no se establece el requisito de informar la resolución y sobre todo la vigencia, por qué la Resolución 000055 establece este requisito?</w:t>
      </w:r>
      <w:proofErr w:type="gramEnd"/>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¿Si los proveedores habitualmente no informan la vigencia de la resolución de facturación, puede una organización al recibir facturas sin este requisito incurrir en un riesgo de desconocimiento de costos y deducciones? ¿Cuál es el propósito de la autorización de numeración?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lastRenderedPageBreak/>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Al respecto se observa: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La Resolución 000055 de 2016, como lo indica en el artículo primero, tiene como fin controlar el cumplimiento de las obligaciones tributarias de los </w:t>
      </w:r>
      <w:r w:rsidRPr="00D11835">
        <w:rPr>
          <w:rFonts w:ascii="Segoe UI" w:eastAsia="Times New Roman" w:hAnsi="Segoe UI" w:cs="Segoe UI"/>
          <w:color w:val="000000"/>
          <w:sz w:val="18"/>
          <w:szCs w:val="18"/>
          <w:u w:val="single"/>
          <w:lang w:val="es-CO"/>
        </w:rPr>
        <w:t>obligados a expedir factura o documento equivalente</w:t>
      </w:r>
      <w:r w:rsidRPr="00D11835">
        <w:rPr>
          <w:rFonts w:ascii="Segoe UI" w:eastAsia="Times New Roman" w:hAnsi="Segoe UI" w:cs="Segoe UI"/>
          <w:color w:val="000000"/>
          <w:sz w:val="18"/>
          <w:szCs w:val="18"/>
          <w:lang w:val="es-CO"/>
        </w:rPr>
        <w:t> y para ello </w:t>
      </w:r>
      <w:r w:rsidRPr="00D11835">
        <w:rPr>
          <w:rFonts w:ascii="Segoe UI" w:eastAsia="Times New Roman" w:hAnsi="Segoe UI" w:cs="Segoe UI"/>
          <w:color w:val="000000"/>
          <w:sz w:val="18"/>
          <w:szCs w:val="18"/>
          <w:u w:val="single"/>
          <w:lang w:val="es-CO"/>
        </w:rPr>
        <w:t>adopta un sistema técnico de control</w:t>
      </w:r>
      <w:r w:rsidRPr="00D11835">
        <w:rPr>
          <w:rFonts w:ascii="Segoe UI" w:eastAsia="Times New Roman" w:hAnsi="Segoe UI" w:cs="Segoe UI"/>
          <w:color w:val="000000"/>
          <w:sz w:val="18"/>
          <w:szCs w:val="18"/>
          <w:lang w:val="es-CO"/>
        </w:rPr>
        <w:t> de la actividad productora de renta, que implica: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Solicitar autorización de numeración siguiendo el trámite de esta resolución.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La numeración y la vigencia de las facturas o documentos equivalentes, que será administrada por el sistema informático electrónico dispuesto por la DIAN.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Suministrar la información que la DIAN solicite.</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El artículo 3 de la misma resolución, se refiere a la autorización y vigencia de la numeración, señalando que:</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“Las personas o entidades </w:t>
      </w:r>
      <w:r w:rsidRPr="00D11835">
        <w:rPr>
          <w:rFonts w:ascii="Segoe UI" w:eastAsia="Times New Roman" w:hAnsi="Segoe UI" w:cs="Segoe UI"/>
          <w:i/>
          <w:iCs/>
          <w:color w:val="000000"/>
          <w:sz w:val="18"/>
          <w:szCs w:val="18"/>
          <w:u w:val="single"/>
          <w:lang w:val="es-CO"/>
        </w:rPr>
        <w:t>obligadas a expedir facturas o documento equivalente</w:t>
      </w:r>
      <w:r w:rsidRPr="00D11835">
        <w:rPr>
          <w:rFonts w:ascii="Segoe UI" w:eastAsia="Times New Roman" w:hAnsi="Segoe UI" w:cs="Segoe UI"/>
          <w:i/>
          <w:iCs/>
          <w:color w:val="000000"/>
          <w:sz w:val="18"/>
          <w:szCs w:val="18"/>
          <w:lang w:val="es-CO"/>
        </w:rPr>
        <w:t>, que utilicen los sistemas de facturación por talonario, por computador o para el registro de sus ventas utilicen máquinas registradoras P.O.S o factura electrónica, deberán solicitar autorización por intervalos de numeración consecutiva, en la forma establecida en el artículo 6 de la presente resolución.</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Si para el obligado resultare insuficiente la numeración autorizada para cualquiera de los rangos, deberá solicitar una nueva autorización de numeración. Lo anterior sin perjuicio, de la facultad de verificación del agotamiento de la misma por parte de la DIAN.</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La autorización de numeración de facturación tendrá una vigencia máxima de dos (2) años a partir de la generación del formato oficial en donde conste la leyenda “autorizado”. (Subrayado fuera de texto)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Por su parte, el artículo 5 de la Resolución 000055, relativo a la </w:t>
      </w:r>
      <w:r w:rsidRPr="00D11835">
        <w:rPr>
          <w:rFonts w:ascii="Segoe UI" w:eastAsia="Times New Roman" w:hAnsi="Segoe UI" w:cs="Segoe UI"/>
          <w:i/>
          <w:iCs/>
          <w:color w:val="000000"/>
          <w:sz w:val="18"/>
          <w:szCs w:val="18"/>
          <w:lang w:val="es-CO"/>
        </w:rPr>
        <w:t>“Numeración de las facturas o documentos equivalentes.”,</w:t>
      </w:r>
      <w:r w:rsidRPr="00D11835">
        <w:rPr>
          <w:rFonts w:ascii="Segoe UI" w:eastAsia="Times New Roman" w:hAnsi="Segoe UI" w:cs="Segoe UI"/>
          <w:color w:val="000000"/>
          <w:sz w:val="18"/>
          <w:szCs w:val="18"/>
          <w:lang w:val="es-CO"/>
        </w:rPr>
        <w:t> en el inciso 4, de manera explícita indica que:</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“En las facturas y documentos equivalentes expedidos, que requieran autorización de numeración de facturación, deberá indicarse el número, la fecha y vigencia de la autorización de numeración de facturación, así como el número de intervalos de numeración consecutiva correspondiente al prefijo.”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De otra parte, acorde con el </w:t>
      </w:r>
      <w:hyperlink r:id="rId13"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del Estatuto Tributario, es claro que para efectos tributarios, la expedición de factura consiste en entregar el original de la misma, con el lleno de los requisitos que allí se listan, incluyendo en el literal d) la obligación de: </w:t>
      </w:r>
      <w:r w:rsidRPr="00D11835">
        <w:rPr>
          <w:rFonts w:ascii="Segoe UI" w:eastAsia="Times New Roman" w:hAnsi="Segoe UI" w:cs="Segoe UI"/>
          <w:i/>
          <w:iCs/>
          <w:color w:val="000000"/>
          <w:sz w:val="18"/>
          <w:szCs w:val="18"/>
          <w:lang w:val="es-CO"/>
        </w:rPr>
        <w:t>“Llevar un número que corresponda a un sistema de numeración consecutiva de facturas de venta.”, </w:t>
      </w:r>
      <w:r w:rsidRPr="00D11835">
        <w:rPr>
          <w:rFonts w:ascii="Segoe UI" w:eastAsia="Times New Roman" w:hAnsi="Segoe UI" w:cs="Segoe UI"/>
          <w:color w:val="000000"/>
          <w:sz w:val="18"/>
          <w:szCs w:val="18"/>
          <w:lang w:val="es-CO"/>
        </w:rPr>
        <w:t>sin que se aluda a la inclusión de la resolución de autorización de la numeración, su fecha, el rango de numeración autorizada y su vigencia.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En todo caso, corresponde al </w:t>
      </w:r>
      <w:r w:rsidRPr="00D11835">
        <w:rPr>
          <w:rFonts w:ascii="Segoe UI" w:eastAsia="Times New Roman" w:hAnsi="Segoe UI" w:cs="Segoe UI"/>
          <w:color w:val="000000"/>
          <w:sz w:val="18"/>
          <w:szCs w:val="18"/>
          <w:u w:val="single"/>
          <w:lang w:val="es-CO"/>
        </w:rPr>
        <w:t>obligado a facturar</w:t>
      </w:r>
      <w:r w:rsidRPr="00D11835">
        <w:rPr>
          <w:rFonts w:ascii="Segoe UI" w:eastAsia="Times New Roman" w:hAnsi="Segoe UI" w:cs="Segoe UI"/>
          <w:color w:val="000000"/>
          <w:sz w:val="18"/>
          <w:szCs w:val="18"/>
          <w:lang w:val="es-CO"/>
        </w:rPr>
        <w:t> cumplir con la totalidad de requisitos que lista el </w:t>
      </w:r>
      <w:hyperlink r:id="rId14"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y, así mismo, cumplir con la Resolución 000055 de 2016, la cual como se indicó, constituye un sistema técnico de control a la facturación, que se expide en desarrollo del </w:t>
      </w:r>
      <w:hyperlink r:id="rId15" w:tooltip="Estatuto Tributario CETA" w:history="1">
        <w:r w:rsidRPr="00D11835">
          <w:rPr>
            <w:rFonts w:ascii="Segoe UI" w:eastAsia="Times New Roman" w:hAnsi="Segoe UI" w:cs="Segoe UI"/>
            <w:color w:val="0089E1"/>
            <w:sz w:val="18"/>
            <w:szCs w:val="18"/>
            <w:u w:val="single"/>
            <w:lang w:val="es-CO"/>
          </w:rPr>
          <w:t>artículo 684-2</w:t>
        </w:r>
      </w:hyperlink>
      <w:r w:rsidRPr="00D11835">
        <w:rPr>
          <w:rFonts w:ascii="Segoe UI" w:eastAsia="Times New Roman" w:hAnsi="Segoe UI" w:cs="Segoe UI"/>
          <w:color w:val="000000"/>
          <w:sz w:val="18"/>
          <w:szCs w:val="18"/>
          <w:lang w:val="es-CO"/>
        </w:rPr>
        <w:t> del mismo estatuto, según el cual:</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“La Dirección General de Impuestos Nacionales </w:t>
      </w:r>
      <w:r w:rsidRPr="00D11835">
        <w:rPr>
          <w:rFonts w:ascii="Segoe UI" w:eastAsia="Times New Roman" w:hAnsi="Segoe UI" w:cs="Segoe UI"/>
          <w:i/>
          <w:iCs/>
          <w:color w:val="000000"/>
          <w:sz w:val="18"/>
          <w:szCs w:val="18"/>
          <w:u w:val="single"/>
          <w:lang w:val="es-CO"/>
        </w:rPr>
        <w:t>podrá prescribir que determinados contribuyentes o sectores</w:t>
      </w:r>
      <w:r w:rsidRPr="00D11835">
        <w:rPr>
          <w:rFonts w:ascii="Segoe UI" w:eastAsia="Times New Roman" w:hAnsi="Segoe UI" w:cs="Segoe UI"/>
          <w:i/>
          <w:iCs/>
          <w:color w:val="000000"/>
          <w:sz w:val="18"/>
          <w:szCs w:val="18"/>
          <w:lang w:val="es-CO"/>
        </w:rPr>
        <w:t>, previa consideración de su capacidad económica, </w:t>
      </w:r>
      <w:r w:rsidRPr="00D11835">
        <w:rPr>
          <w:rFonts w:ascii="Segoe UI" w:eastAsia="Times New Roman" w:hAnsi="Segoe UI" w:cs="Segoe UI"/>
          <w:i/>
          <w:iCs/>
          <w:color w:val="000000"/>
          <w:sz w:val="18"/>
          <w:szCs w:val="18"/>
          <w:u w:val="single"/>
          <w:lang w:val="es-CO"/>
        </w:rPr>
        <w:t>adopten sistemas técnicos razonables para el control de su actividad productora de renta, o implantar directamente los mismos, los cuales servirán de base para la determinación de sus obligaciones tributarias</w:t>
      </w:r>
      <w:r w:rsidRPr="00D11835">
        <w:rPr>
          <w:rFonts w:ascii="Segoe UI" w:eastAsia="Times New Roman" w:hAnsi="Segoe UI" w:cs="Segoe UI"/>
          <w:i/>
          <w:iCs/>
          <w:color w:val="000000"/>
          <w:sz w:val="18"/>
          <w:szCs w:val="18"/>
          <w:lang w:val="es-CO"/>
        </w:rPr>
        <w:t>.</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u w:val="single"/>
          <w:lang w:val="es-CO"/>
        </w:rPr>
        <w:t>La no adopción de dichos controles luego de tres (3) meses de haber sido dispuestos por la Dirección General de Impuestos Nacionales o su violación dará lugar a la sanción de clausura del establecimiento en los términos del </w:t>
      </w:r>
      <w:hyperlink r:id="rId16" w:tooltip="Estatuto Tributario CETA" w:history="1">
        <w:r w:rsidRPr="00D11835">
          <w:rPr>
            <w:rFonts w:ascii="Segoe UI" w:eastAsia="Times New Roman" w:hAnsi="Segoe UI" w:cs="Segoe UI"/>
            <w:i/>
            <w:iCs/>
            <w:color w:val="0089E1"/>
            <w:sz w:val="18"/>
            <w:szCs w:val="18"/>
            <w:u w:val="single"/>
            <w:lang w:val="es-CO"/>
          </w:rPr>
          <w:t>artículo 657</w:t>
        </w:r>
      </w:hyperlink>
      <w:r w:rsidRPr="00D11835">
        <w:rPr>
          <w:rFonts w:ascii="Segoe UI" w:eastAsia="Times New Roman" w:hAnsi="Segoe UI" w:cs="Segoe UI"/>
          <w:color w:val="000000"/>
          <w:sz w:val="18"/>
          <w:szCs w:val="18"/>
          <w:lang w:val="es-CO"/>
        </w:rPr>
        <w:t>.</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(Subrayado fuera de texto)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Precisamente la Resolución 000055 de 2016 en el artículo 18 se refiere a la sanción aplicable al incumplimiento de los sistemas técnicos de control, así: </w:t>
      </w:r>
      <w:r w:rsidRPr="00D11835">
        <w:rPr>
          <w:rFonts w:ascii="Segoe UI" w:eastAsia="Times New Roman" w:hAnsi="Segoe UI" w:cs="Segoe UI"/>
          <w:i/>
          <w:iCs/>
          <w:color w:val="000000"/>
          <w:sz w:val="18"/>
          <w:szCs w:val="18"/>
          <w:lang w:val="es-CO"/>
        </w:rPr>
        <w:t>“La no adopción o el incumplimiento de lo establecido en la presente resolución dará lugar a la aplicación de la sanción de que trata el </w:t>
      </w:r>
      <w:hyperlink r:id="rId17" w:tooltip="Estatuto Tributario CETA" w:history="1">
        <w:r w:rsidRPr="00D11835">
          <w:rPr>
            <w:rFonts w:ascii="Segoe UI" w:eastAsia="Times New Roman" w:hAnsi="Segoe UI" w:cs="Segoe UI"/>
            <w:i/>
            <w:iCs/>
            <w:color w:val="0089E1"/>
            <w:sz w:val="18"/>
            <w:szCs w:val="18"/>
            <w:u w:val="single"/>
            <w:lang w:val="es-CO"/>
          </w:rPr>
          <w:t>artículo 684-2</w:t>
        </w:r>
      </w:hyperlink>
      <w:r w:rsidRPr="00D11835">
        <w:rPr>
          <w:rFonts w:ascii="Segoe UI" w:eastAsia="Times New Roman" w:hAnsi="Segoe UI" w:cs="Segoe UI"/>
          <w:i/>
          <w:iCs/>
          <w:color w:val="000000"/>
          <w:sz w:val="18"/>
          <w:szCs w:val="18"/>
          <w:lang w:val="es-CO"/>
        </w:rPr>
        <w:t> del Estatuto Tributario.”.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El </w:t>
      </w:r>
      <w:hyperlink r:id="rId18" w:tooltip="Estatuto Tributario CETA" w:history="1">
        <w:r w:rsidRPr="00D11835">
          <w:rPr>
            <w:rFonts w:ascii="Segoe UI" w:eastAsia="Times New Roman" w:hAnsi="Segoe UI" w:cs="Segoe UI"/>
            <w:color w:val="0089E1"/>
            <w:sz w:val="18"/>
            <w:szCs w:val="18"/>
            <w:u w:val="single"/>
            <w:lang w:val="es-CO"/>
          </w:rPr>
          <w:t>artículo 657</w:t>
        </w:r>
      </w:hyperlink>
      <w:r w:rsidRPr="00D11835">
        <w:rPr>
          <w:rFonts w:ascii="Segoe UI" w:eastAsia="Times New Roman" w:hAnsi="Segoe UI" w:cs="Segoe UI"/>
          <w:color w:val="000000"/>
          <w:sz w:val="18"/>
          <w:szCs w:val="18"/>
          <w:lang w:val="es-CO"/>
        </w:rPr>
        <w:t> del Estatuto Tributario establece la sanción de clausura, que aplica, entre otros eventos, cuando la factura no cumple los requisitos del </w:t>
      </w:r>
      <w:hyperlink r:id="rId19"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ibídem, así como por incumplimiento de los sistemas técnicos de control (como es el caso del establecido por medio de la Resolución 000055 de 2016) por efecto de la remisión que hace el </w:t>
      </w:r>
      <w:hyperlink r:id="rId20" w:tooltip="Estatuto Tributario CETA" w:history="1">
        <w:r w:rsidRPr="00D11835">
          <w:rPr>
            <w:rFonts w:ascii="Segoe UI" w:eastAsia="Times New Roman" w:hAnsi="Segoe UI" w:cs="Segoe UI"/>
            <w:color w:val="0089E1"/>
            <w:sz w:val="18"/>
            <w:szCs w:val="18"/>
            <w:u w:val="single"/>
            <w:lang w:val="es-CO"/>
          </w:rPr>
          <w:t>artículo 684-2</w:t>
        </w:r>
      </w:hyperlink>
      <w:r w:rsidRPr="00D11835">
        <w:rPr>
          <w:rFonts w:ascii="Segoe UI" w:eastAsia="Times New Roman" w:hAnsi="Segoe UI" w:cs="Segoe UI"/>
          <w:color w:val="000000"/>
          <w:sz w:val="18"/>
          <w:szCs w:val="18"/>
          <w:lang w:val="es-CO"/>
        </w:rPr>
        <w:t> del mismo estatuto.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Ahora bien, la factura es el documento que en relación con el vendedor o prestador de servicios permite establecer sus ingresos y, en relación con el adquirente, demostrar sus costos y gastos. No obstante, desde el punto de vista probatorio, el </w:t>
      </w:r>
      <w:hyperlink r:id="rId21" w:tooltip="Estatuto Tributario CETA" w:history="1">
        <w:r w:rsidRPr="00D11835">
          <w:rPr>
            <w:rFonts w:ascii="Segoe UI" w:eastAsia="Times New Roman" w:hAnsi="Segoe UI" w:cs="Segoe UI"/>
            <w:color w:val="0089E1"/>
            <w:sz w:val="18"/>
            <w:szCs w:val="18"/>
            <w:u w:val="single"/>
            <w:lang w:val="es-CO"/>
          </w:rPr>
          <w:t>artículo 771-2</w:t>
        </w:r>
      </w:hyperlink>
      <w:r w:rsidRPr="00D11835">
        <w:rPr>
          <w:rFonts w:ascii="Segoe UI" w:eastAsia="Times New Roman" w:hAnsi="Segoe UI" w:cs="Segoe UI"/>
          <w:color w:val="000000"/>
          <w:sz w:val="18"/>
          <w:szCs w:val="18"/>
          <w:lang w:val="es-CO"/>
        </w:rPr>
        <w:t> del E.T. se refiere a la </w:t>
      </w:r>
      <w:r w:rsidRPr="00D11835">
        <w:rPr>
          <w:rFonts w:ascii="Segoe UI" w:eastAsia="Times New Roman" w:hAnsi="Segoe UI" w:cs="Segoe UI"/>
          <w:i/>
          <w:iCs/>
          <w:color w:val="000000"/>
          <w:sz w:val="18"/>
          <w:szCs w:val="18"/>
          <w:lang w:val="es-CO"/>
        </w:rPr>
        <w:t>“Procedencia de costos, deducciones e impuestos descontables”, </w:t>
      </w:r>
      <w:r w:rsidRPr="00D11835">
        <w:rPr>
          <w:rFonts w:ascii="Segoe UI" w:eastAsia="Times New Roman" w:hAnsi="Segoe UI" w:cs="Segoe UI"/>
          <w:color w:val="000000"/>
          <w:sz w:val="18"/>
          <w:szCs w:val="18"/>
          <w:lang w:val="es-CO"/>
        </w:rPr>
        <w:t>e indica que:</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lastRenderedPageBreak/>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“Para la procedencia </w:t>
      </w:r>
      <w:r w:rsidRPr="00D11835">
        <w:rPr>
          <w:rFonts w:ascii="Segoe UI" w:eastAsia="Times New Roman" w:hAnsi="Segoe UI" w:cs="Segoe UI"/>
          <w:i/>
          <w:iCs/>
          <w:color w:val="000000"/>
          <w:sz w:val="18"/>
          <w:szCs w:val="18"/>
          <w:u w:val="single"/>
          <w:lang w:val="es-CO"/>
        </w:rPr>
        <w:t>de costos y deducciones</w:t>
      </w:r>
      <w:r w:rsidRPr="00D11835">
        <w:rPr>
          <w:rFonts w:ascii="Segoe UI" w:eastAsia="Times New Roman" w:hAnsi="Segoe UI" w:cs="Segoe UI"/>
          <w:i/>
          <w:iCs/>
          <w:color w:val="000000"/>
          <w:sz w:val="18"/>
          <w:szCs w:val="18"/>
          <w:lang w:val="es-CO"/>
        </w:rPr>
        <w:t> en el impuesto sobre la renta, así como de los impuestos descontables en el impuesto sobre las ventas, se requerirá las facturas con el cumplimiento de los requisitos establecidos en los literales b), c), d), e), f) y g) de los artículos </w:t>
      </w:r>
      <w:hyperlink r:id="rId22" w:tooltip="Estatuto Tributario CETA" w:history="1">
        <w:r w:rsidRPr="00D11835">
          <w:rPr>
            <w:rFonts w:ascii="Segoe UI" w:eastAsia="Times New Roman" w:hAnsi="Segoe UI" w:cs="Segoe UI"/>
            <w:i/>
            <w:iCs/>
            <w:color w:val="0089E1"/>
            <w:sz w:val="18"/>
            <w:szCs w:val="18"/>
            <w:u w:val="single"/>
            <w:lang w:val="es-CO"/>
          </w:rPr>
          <w:t>617</w:t>
        </w:r>
      </w:hyperlink>
      <w:r w:rsidRPr="00D11835">
        <w:rPr>
          <w:rFonts w:ascii="Segoe UI" w:eastAsia="Times New Roman" w:hAnsi="Segoe UI" w:cs="Segoe UI"/>
          <w:i/>
          <w:iCs/>
          <w:color w:val="000000"/>
          <w:sz w:val="18"/>
          <w:szCs w:val="18"/>
          <w:lang w:val="es-CO"/>
        </w:rPr>
        <w:t> y </w:t>
      </w:r>
      <w:hyperlink r:id="rId23" w:tooltip="Estatuto Tributario CETA" w:history="1">
        <w:r w:rsidRPr="00D11835">
          <w:rPr>
            <w:rFonts w:ascii="Segoe UI" w:eastAsia="Times New Roman" w:hAnsi="Segoe UI" w:cs="Segoe UI"/>
            <w:i/>
            <w:iCs/>
            <w:color w:val="0089E1"/>
            <w:sz w:val="18"/>
            <w:szCs w:val="18"/>
            <w:u w:val="single"/>
            <w:lang w:val="es-CO"/>
          </w:rPr>
          <w:t>618</w:t>
        </w:r>
      </w:hyperlink>
      <w:r w:rsidRPr="00D11835">
        <w:rPr>
          <w:rFonts w:ascii="Segoe UI" w:eastAsia="Times New Roman" w:hAnsi="Segoe UI" w:cs="Segoe UI"/>
          <w:i/>
          <w:iCs/>
          <w:color w:val="000000"/>
          <w:sz w:val="18"/>
          <w:szCs w:val="18"/>
          <w:lang w:val="es-CO"/>
        </w:rPr>
        <w:t> del Estatuto Tributario.</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w:t>
      </w:r>
      <w:proofErr w:type="gramStart"/>
      <w:r w:rsidRPr="00D11835">
        <w:rPr>
          <w:rFonts w:ascii="Segoe UI" w:eastAsia="Times New Roman" w:hAnsi="Segoe UI" w:cs="Segoe UI"/>
          <w:i/>
          <w:iCs/>
          <w:color w:val="000000"/>
          <w:sz w:val="18"/>
          <w:szCs w:val="18"/>
          <w:lang w:val="es-CO"/>
        </w:rPr>
        <w:t>/.“</w:t>
      </w:r>
      <w:proofErr w:type="gramEnd"/>
      <w:r w:rsidRPr="00D11835">
        <w:rPr>
          <w:rFonts w:ascii="Segoe UI" w:eastAsia="Times New Roman" w:hAnsi="Segoe UI" w:cs="Segoe UI"/>
          <w:i/>
          <w:iCs/>
          <w:color w:val="000000"/>
          <w:sz w:val="18"/>
          <w:szCs w:val="18"/>
          <w:lang w:val="es-CO"/>
        </w:rPr>
        <w:t xml:space="preserve"> (Subrayado fuera de texto)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En efecto, acorde con esta disposición, para la procedencia de costos y gastos no es exigible para el comprador que la factura contenga el número de la resolución de autorización de numeración, su fecha, rango y vigencia. Esto, se insiste, desde el punto de vista del adquirente. No obstante, ello </w:t>
      </w:r>
      <w:r w:rsidRPr="00D11835">
        <w:rPr>
          <w:rFonts w:ascii="Segoe UI" w:eastAsia="Times New Roman" w:hAnsi="Segoe UI" w:cs="Segoe UI"/>
          <w:b/>
          <w:bCs/>
          <w:color w:val="000000"/>
          <w:sz w:val="18"/>
          <w:szCs w:val="18"/>
          <w:lang w:val="es-CO"/>
        </w:rPr>
        <w:t>no exime al obligado a facturar </w:t>
      </w:r>
      <w:r w:rsidRPr="00D11835">
        <w:rPr>
          <w:rFonts w:ascii="Segoe UI" w:eastAsia="Times New Roman" w:hAnsi="Segoe UI" w:cs="Segoe UI"/>
          <w:color w:val="000000"/>
          <w:sz w:val="18"/>
          <w:szCs w:val="18"/>
          <w:lang w:val="es-CO"/>
        </w:rPr>
        <w:t>de cumplir en su expedición con la totalidad de los requisitos señalados en el </w:t>
      </w:r>
      <w:hyperlink r:id="rId24"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del Estatuto Tributario así como con los requisitos que se derivan del sistema técnico de control adoptado mediante la Resolución 000055 de 2016, entre ellos, el de incluir en el respectivo documento los datos de la resolución de autorización de numeración, su fecha, el rango autorizado y su vigencia, so pena de incurrir en la sanción a que hemos hecho referencia.</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Sin perjuicio de lo anterior, es preciso mencionar que el </w:t>
      </w:r>
      <w:hyperlink r:id="rId25" w:tooltip="Estatuto Tributario CETA" w:history="1">
        <w:r w:rsidRPr="00D11835">
          <w:rPr>
            <w:rFonts w:ascii="Segoe UI" w:eastAsia="Times New Roman" w:hAnsi="Segoe UI" w:cs="Segoe UI"/>
            <w:color w:val="0089E1"/>
            <w:sz w:val="18"/>
            <w:szCs w:val="18"/>
            <w:u w:val="single"/>
            <w:lang w:val="es-CO"/>
          </w:rPr>
          <w:t>artículo 618</w:t>
        </w:r>
      </w:hyperlink>
      <w:r w:rsidRPr="00D11835">
        <w:rPr>
          <w:rFonts w:ascii="Segoe UI" w:eastAsia="Times New Roman" w:hAnsi="Segoe UI" w:cs="Segoe UI"/>
          <w:color w:val="000000"/>
          <w:sz w:val="18"/>
          <w:szCs w:val="18"/>
          <w:lang w:val="es-CO"/>
        </w:rPr>
        <w:t> del Estatuto Tributario establece para los adquirentes de bienes corporales muebles o servicios, la obligación de exigir las facturas o documentos equivalentes que establezcan las normas legales, al igual que a exhibirlos cuando los funcionarios de la administración tributaria debidamente comisionados para el efecto así lo exijan.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Igual como se ha indicado, dado que la factura o documento equivalente constituye el soporte de costos y gastos, el adquirente debe asegurarse para efectos probatorios que mínimo reúna los requisitos que el </w:t>
      </w:r>
      <w:hyperlink r:id="rId26" w:tooltip="Estatuto Tributario CETA" w:history="1">
        <w:r w:rsidRPr="00D11835">
          <w:rPr>
            <w:rFonts w:ascii="Segoe UI" w:eastAsia="Times New Roman" w:hAnsi="Segoe UI" w:cs="Segoe UI"/>
            <w:color w:val="0089E1"/>
            <w:sz w:val="18"/>
            <w:szCs w:val="18"/>
            <w:u w:val="single"/>
            <w:lang w:val="es-CO"/>
          </w:rPr>
          <w:t>artículo 771-2</w:t>
        </w:r>
      </w:hyperlink>
      <w:r w:rsidRPr="00D11835">
        <w:rPr>
          <w:rFonts w:ascii="Segoe UI" w:eastAsia="Times New Roman" w:hAnsi="Segoe UI" w:cs="Segoe UI"/>
          <w:color w:val="000000"/>
          <w:sz w:val="18"/>
          <w:szCs w:val="18"/>
          <w:lang w:val="es-CO"/>
        </w:rPr>
        <w:t> exige para este fin. Sin que ello obste que el adquirente, de observar que el proveedor incumple, en general, con alguno de los requisitos del </w:t>
      </w:r>
      <w:hyperlink r:id="rId27" w:tooltip="Estatuto Tributario CETA" w:history="1">
        <w:r w:rsidRPr="00D11835">
          <w:rPr>
            <w:rFonts w:ascii="Segoe UI" w:eastAsia="Times New Roman" w:hAnsi="Segoe UI" w:cs="Segoe UI"/>
            <w:color w:val="0089E1"/>
            <w:sz w:val="18"/>
            <w:szCs w:val="18"/>
            <w:u w:val="single"/>
            <w:lang w:val="es-CO"/>
          </w:rPr>
          <w:t>artículo 617</w:t>
        </w:r>
      </w:hyperlink>
      <w:r w:rsidRPr="00D11835">
        <w:rPr>
          <w:rFonts w:ascii="Segoe UI" w:eastAsia="Times New Roman" w:hAnsi="Segoe UI" w:cs="Segoe UI"/>
          <w:color w:val="000000"/>
          <w:sz w:val="18"/>
          <w:szCs w:val="18"/>
          <w:lang w:val="es-CO"/>
        </w:rPr>
        <w:t> del Estatuto Tributario o los correspondientes a la autorización de numeración acorde con la Resolución 000055 de 2016, pueda exigir al vendedor su cumplimiento, quedando a su criterio si adquiere productos y/o servicios de alguien que incumple las normas de facturación. Así mismo, puede informar ese hecho a la Administración Tributaria, para que se realicen las verificaciones pertinentes y se proceda a sancionar, si fuera el caso. Sin duda, se trata de un tema relevante, donde el adquirente puede válidamente efectuar control ciudadano y colaborar con la administración, máxime que se puede estar frente a casos de evasión.</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Igualmente cabe mencionar que, para efectos de establecer la vigencia de las resoluciones de autorización de numeración, actualmente es posible hacerlo, a través del servicio informático electrónico dispuesto por la DIAN. Precisamente el artículo 16 de la Resolución 000055 de 2016 en el artículo 16 (sic) establece:</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 </w:t>
      </w:r>
    </w:p>
    <w:p w:rsidR="00D11835" w:rsidRPr="00D11835" w:rsidRDefault="00D11835" w:rsidP="00D11835">
      <w:pPr>
        <w:spacing w:line="240" w:lineRule="auto"/>
        <w:ind w:left="180"/>
        <w:rPr>
          <w:rFonts w:ascii="Arial" w:eastAsia="Times New Roman" w:hAnsi="Arial"/>
          <w:color w:val="000000"/>
          <w:sz w:val="18"/>
          <w:szCs w:val="18"/>
          <w:lang w:val="es-CO"/>
        </w:rPr>
      </w:pPr>
      <w:r w:rsidRPr="00D11835">
        <w:rPr>
          <w:rFonts w:ascii="Segoe UI" w:eastAsia="Times New Roman" w:hAnsi="Segoe UI" w:cs="Segoe UI"/>
          <w:i/>
          <w:iCs/>
          <w:color w:val="000000"/>
          <w:sz w:val="18"/>
          <w:szCs w:val="18"/>
          <w:lang w:val="es-CO"/>
        </w:rPr>
        <w:t>“La U.A.E. Dirección de Impuestos y Aduanas nacionales –DIAN- pondrá a disposición en su página web, el servicio de consulta del estado de autorización de numeración de las facturas”, que actualmente se encuentra disponible.</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Actualmente este servicio se encuentra operando.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bookmarkStart w:id="0" w:name="_GoBack"/>
      <w:bookmarkEnd w:id="0"/>
      <w:r w:rsidRPr="00D11835">
        <w:rPr>
          <w:rFonts w:ascii="Segoe UI" w:eastAsia="Times New Roman" w:hAnsi="Segoe UI" w:cs="Segoe UI"/>
          <w:color w:val="000000"/>
          <w:sz w:val="18"/>
          <w:szCs w:val="18"/>
          <w:lang w:val="es-CO"/>
        </w:rPr>
        <w:t>Atentamente,</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 </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b/>
          <w:bCs/>
          <w:color w:val="000000"/>
          <w:sz w:val="18"/>
          <w:szCs w:val="18"/>
          <w:lang w:val="es-CO"/>
        </w:rPr>
        <w:t>PEDRO PABLO CONTRERAS CAMARGO</w:t>
      </w:r>
    </w:p>
    <w:p w:rsidR="00D11835" w:rsidRPr="00D11835" w:rsidRDefault="00D11835" w:rsidP="00D11835">
      <w:pPr>
        <w:spacing w:line="240" w:lineRule="auto"/>
        <w:rPr>
          <w:rFonts w:ascii="Arial" w:eastAsia="Times New Roman" w:hAnsi="Arial"/>
          <w:color w:val="000000"/>
          <w:sz w:val="18"/>
          <w:szCs w:val="18"/>
          <w:lang w:val="es-CO"/>
        </w:rPr>
      </w:pPr>
      <w:r w:rsidRPr="00D11835">
        <w:rPr>
          <w:rFonts w:ascii="Segoe UI" w:eastAsia="Times New Roman" w:hAnsi="Segoe UI" w:cs="Segoe UI"/>
          <w:color w:val="000000"/>
          <w:sz w:val="18"/>
          <w:szCs w:val="18"/>
          <w:lang w:val="es-CO"/>
        </w:rPr>
        <w:t>Subdirector de Gestión Normativa y Doctrina</w:t>
      </w:r>
    </w:p>
    <w:p w:rsidR="00147980" w:rsidRPr="00D11835" w:rsidRDefault="00147980">
      <w:pPr>
        <w:rPr>
          <w:lang w:val="es-CO"/>
        </w:rPr>
      </w:pPr>
    </w:p>
    <w:sectPr w:rsidR="00147980" w:rsidRPr="00D11835"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35"/>
    <w:rsid w:val="00147980"/>
    <w:rsid w:val="00B66046"/>
    <w:rsid w:val="00D1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46352-F828-4BC2-83C8-8FE9B374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7" TargetMode="External"/><Relationship Id="rId13" Type="http://schemas.openxmlformats.org/officeDocument/2006/relationships/hyperlink" Target="https://www.ceta.org.co/html/vista_de_un_articulo.asp?Norma=761" TargetMode="External"/><Relationship Id="rId18" Type="http://schemas.openxmlformats.org/officeDocument/2006/relationships/hyperlink" Target="https://www.ceta.org.co/html/vista_de_un_articulo.asp?Norma=817" TargetMode="External"/><Relationship Id="rId26" Type="http://schemas.openxmlformats.org/officeDocument/2006/relationships/hyperlink" Target="https://www.ceta.org.co/html/vista_de_un_articulo.asp?Norma=957"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57" TargetMode="External"/><Relationship Id="rId7" Type="http://schemas.openxmlformats.org/officeDocument/2006/relationships/hyperlink" Target="https://www.ceta.org.co/html/vista_de_un_articulo.asp?Norma=853" TargetMode="External"/><Relationship Id="rId12" Type="http://schemas.openxmlformats.org/officeDocument/2006/relationships/hyperlink" Target="https://www.ceta.org.co/html/vista_de_un_articulo.asp?Norma=957" TargetMode="External"/><Relationship Id="rId17" Type="http://schemas.openxmlformats.org/officeDocument/2006/relationships/hyperlink" Target="https://www.ceta.org.co/html/vista_de_un_articulo.asp?Norma=853" TargetMode="External"/><Relationship Id="rId25" Type="http://schemas.openxmlformats.org/officeDocument/2006/relationships/hyperlink" Target="https://www.ceta.org.co/html/vista_de_un_articulo.asp?Norma=762" TargetMode="External"/><Relationship Id="rId2" Type="http://schemas.openxmlformats.org/officeDocument/2006/relationships/settings" Target="settings.xml"/><Relationship Id="rId16" Type="http://schemas.openxmlformats.org/officeDocument/2006/relationships/hyperlink" Target="https://www.ceta.org.co/html/vista_de_un_articulo.asp?Norma=817" TargetMode="External"/><Relationship Id="rId20" Type="http://schemas.openxmlformats.org/officeDocument/2006/relationships/hyperlink" Target="https://www.ceta.org.co/html/vista_de_un_articulo.asp?Norma=85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762" TargetMode="External"/><Relationship Id="rId11" Type="http://schemas.openxmlformats.org/officeDocument/2006/relationships/hyperlink" Target="https://www.ceta.org.co/html/vista_de_un_articulo.asp?Norma=761" TargetMode="External"/><Relationship Id="rId24"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761" TargetMode="External"/><Relationship Id="rId15" Type="http://schemas.openxmlformats.org/officeDocument/2006/relationships/hyperlink" Target="https://www.ceta.org.co/html/vista_de_un_articulo.asp?Norma=853" TargetMode="External"/><Relationship Id="rId23" Type="http://schemas.openxmlformats.org/officeDocument/2006/relationships/hyperlink" Target="https://www.ceta.org.co/html/vista_de_un_articulo.asp?Norma=762" TargetMode="External"/><Relationship Id="rId28" Type="http://schemas.openxmlformats.org/officeDocument/2006/relationships/fontTable" Target="fontTable.xml"/><Relationship Id="rId10" Type="http://schemas.openxmlformats.org/officeDocument/2006/relationships/hyperlink" Target="https://www.ceta.org.co/html/vista_de_un_articulo.asp?Norma=761" TargetMode="External"/><Relationship Id="rId19" Type="http://schemas.openxmlformats.org/officeDocument/2006/relationships/hyperlink" Target="https://www.ceta.org.co/html/vista_de_un_articulo.asp?Norma=761" TargetMode="External"/><Relationship Id="rId4" Type="http://schemas.openxmlformats.org/officeDocument/2006/relationships/hyperlink" Target="mailto:lisheber@une.net.co" TargetMode="External"/><Relationship Id="rId9" Type="http://schemas.openxmlformats.org/officeDocument/2006/relationships/hyperlink" Target="https://www.ceta.org.co/html/vista_de_un_articulo.asp?Norma=957" TargetMode="External"/><Relationship Id="rId14" Type="http://schemas.openxmlformats.org/officeDocument/2006/relationships/hyperlink" Target="https://www.ceta.org.co/html/vista_de_un_articulo.asp?Norma=761" TargetMode="External"/><Relationship Id="rId22" Type="http://schemas.openxmlformats.org/officeDocument/2006/relationships/hyperlink" Target="https://www.ceta.org.co/html/vista_de_un_articulo.asp?Norma=761" TargetMode="External"/><Relationship Id="rId27" Type="http://schemas.openxmlformats.org/officeDocument/2006/relationships/hyperlink" Target="https://www.ceta.org.co/html/vista_de_un_articulo.asp?Norma=76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2102</Words>
  <Characters>11987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2018-06-23T14:43:00Z</dcterms:created>
  <dcterms:modified xsi:type="dcterms:W3CDTF">2018-06-23T14:44:00Z</dcterms:modified>
</cp:coreProperties>
</file>